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AE0B1F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9420B0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</w:tr>
      <w:tr w:rsidR="00F71A09" w:rsidRPr="00D60920" w:rsidTr="00AE0B1F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9420B0" w:rsidRDefault="009420B0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0B0">
        <w:rPr>
          <w:rFonts w:ascii="Times New Roman" w:hAnsi="Times New Roman" w:cs="Times New Roman"/>
          <w:sz w:val="28"/>
          <w:szCs w:val="28"/>
        </w:rPr>
        <w:t>Об утверждении переч</w:t>
      </w:r>
      <w:r>
        <w:rPr>
          <w:rFonts w:ascii="Times New Roman" w:hAnsi="Times New Roman" w:cs="Times New Roman"/>
          <w:sz w:val="28"/>
          <w:szCs w:val="28"/>
        </w:rPr>
        <w:t xml:space="preserve">ня значений коэффициента (К) </w:t>
      </w:r>
      <w:r w:rsidRPr="009420B0">
        <w:rPr>
          <w:rFonts w:ascii="Times New Roman" w:hAnsi="Times New Roman" w:cs="Times New Roman"/>
          <w:sz w:val="28"/>
          <w:szCs w:val="28"/>
        </w:rPr>
        <w:t xml:space="preserve">в отношении </w:t>
      </w:r>
    </w:p>
    <w:p w:rsidR="009420B0" w:rsidRDefault="009420B0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0B0">
        <w:rPr>
          <w:rFonts w:ascii="Times New Roman" w:hAnsi="Times New Roman" w:cs="Times New Roman"/>
          <w:sz w:val="28"/>
          <w:szCs w:val="28"/>
        </w:rPr>
        <w:t>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</w:t>
      </w:r>
      <w:r w:rsidRPr="009420B0">
        <w:rPr>
          <w:rFonts w:ascii="Times New Roman" w:hAnsi="Times New Roman" w:cs="Times New Roman"/>
          <w:sz w:val="28"/>
          <w:szCs w:val="28"/>
        </w:rPr>
        <w:t xml:space="preserve">на которые </w:t>
      </w:r>
    </w:p>
    <w:p w:rsidR="009420B0" w:rsidRPr="009420B0" w:rsidRDefault="009420B0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0B0">
        <w:rPr>
          <w:rFonts w:ascii="Times New Roman" w:hAnsi="Times New Roman" w:cs="Times New Roman"/>
          <w:sz w:val="28"/>
          <w:szCs w:val="28"/>
        </w:rPr>
        <w:t xml:space="preserve">не разграничена, и предоставленных в аренду без торгов, </w:t>
      </w:r>
    </w:p>
    <w:p w:rsidR="00345FD0" w:rsidRDefault="009420B0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0B0">
        <w:rPr>
          <w:rFonts w:ascii="Times New Roman" w:hAnsi="Times New Roman" w:cs="Times New Roman"/>
          <w:sz w:val="28"/>
          <w:szCs w:val="28"/>
        </w:rPr>
        <w:t>на территории МО «Кувшиновский район»</w:t>
      </w:r>
    </w:p>
    <w:p w:rsidR="00673F5D" w:rsidRPr="002A3B77" w:rsidRDefault="00673F5D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9420B0" w:rsidP="00492815">
      <w:pPr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420B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 соответствии с пунктом 6 Порядка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торгов, утвержденного постановлением Правительства Тверской области от 30.05.2020 № 250-пп, 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              № 540 «Об утверждении классификатора видов разрешенного использования земельных участков»,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492815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4928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4928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B0" w:rsidRPr="009420B0" w:rsidRDefault="009420B0" w:rsidP="00492815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Утвердить перечень значений коэффициента (К) в отношении земельных участков, государственная собственность на которые не разграничена, и предоставленных в аренду без торгов, на территории МО «Кувшиновский район» (прилагается).</w:t>
      </w:r>
    </w:p>
    <w:p w:rsidR="009420B0" w:rsidRPr="009420B0" w:rsidRDefault="009420B0" w:rsidP="00492815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С момента вступления в законную силу настоящего решения признать утратившим силу решение Собрания депутатов Кувшиновского от 18.08.2011</w:t>
      </w:r>
      <w:r w:rsidR="004928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г. </w:t>
      </w:r>
      <w:r w:rsidR="004928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159 «Об утверждении значений коэффициента социально-экономических особенностей при определении размера арендной платы за пользование земельными участками, государственная собственность на которые не разграничена, на территории МО «Кувшиновский район» на 2012 </w:t>
      </w:r>
      <w:proofErr w:type="gramStart"/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год»   </w:t>
      </w:r>
      <w:proofErr w:type="gramEnd"/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(с изменениями, внесенными решением Собрания депутатов Кувшиновского района от 24.12.2015</w:t>
      </w:r>
      <w:r w:rsidR="004928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г. № 73).</w:t>
      </w:r>
    </w:p>
    <w:p w:rsidR="00837F7F" w:rsidRPr="00837F7F" w:rsidRDefault="009420B0" w:rsidP="00492815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3. Настоящее решение вст</w:t>
      </w:r>
      <w:r w:rsidR="00AE0B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упает в силу с 01.01.2021 года,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AE0B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подлежит </w:t>
      </w:r>
      <w:r w:rsidR="00AE0B1F" w:rsidRPr="00AE0B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345FD0" w:rsidRDefault="00345FD0" w:rsidP="00492815">
      <w:pPr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492815">
      <w:pPr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D25A87" w:rsidRDefault="00E95E8A" w:rsidP="00492815">
      <w:pPr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930118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46F">
        <w:rPr>
          <w:rFonts w:ascii="Times New Roman" w:hAnsi="Times New Roman" w:cs="Times New Roman"/>
          <w:sz w:val="28"/>
          <w:szCs w:val="28"/>
        </w:rPr>
        <w:t xml:space="preserve">  </w:t>
      </w:r>
      <w:r w:rsidR="00C47D7B">
        <w:rPr>
          <w:rFonts w:ascii="Times New Roman" w:hAnsi="Times New Roman" w:cs="Times New Roman"/>
          <w:sz w:val="28"/>
          <w:szCs w:val="28"/>
        </w:rPr>
        <w:t xml:space="preserve">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Pr="00EB3801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B3801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bookmarkStart w:id="0" w:name="_GoBack"/>
      <w:bookmarkEnd w:id="0"/>
      <w:r w:rsidRPr="00EB3801"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492815" w:rsidRPr="00EB3801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B380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92815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Кувшиновского района о</w:t>
      </w:r>
      <w:r w:rsidRPr="00EB38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EB3801">
        <w:rPr>
          <w:rFonts w:ascii="Times New Roman" w:hAnsi="Times New Roman" w:cs="Times New Roman"/>
          <w:sz w:val="24"/>
          <w:szCs w:val="24"/>
        </w:rPr>
        <w:t xml:space="preserve">.12.2020 №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492815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2815">
        <w:rPr>
          <w:rFonts w:ascii="Times New Roman" w:hAnsi="Times New Roman" w:cs="Times New Roman"/>
          <w:sz w:val="24"/>
          <w:szCs w:val="24"/>
        </w:rPr>
        <w:t xml:space="preserve">Об утверждении перечня значений коэффициента (К) </w:t>
      </w:r>
    </w:p>
    <w:p w:rsidR="00492815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492815">
        <w:rPr>
          <w:rFonts w:ascii="Times New Roman" w:hAnsi="Times New Roman" w:cs="Times New Roman"/>
          <w:sz w:val="24"/>
          <w:szCs w:val="24"/>
        </w:rPr>
        <w:t xml:space="preserve">земельных участков, государственная </w:t>
      </w:r>
    </w:p>
    <w:p w:rsidR="00492815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92815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на которые </w:t>
      </w:r>
      <w:r w:rsidRPr="00492815">
        <w:rPr>
          <w:rFonts w:ascii="Times New Roman" w:hAnsi="Times New Roman" w:cs="Times New Roman"/>
          <w:sz w:val="24"/>
          <w:szCs w:val="24"/>
        </w:rPr>
        <w:t xml:space="preserve">не разграничена, и предоставленных </w:t>
      </w:r>
    </w:p>
    <w:p w:rsidR="00492815" w:rsidRPr="00EB3801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92815">
        <w:rPr>
          <w:rFonts w:ascii="Times New Roman" w:hAnsi="Times New Roman" w:cs="Times New Roman"/>
          <w:sz w:val="24"/>
          <w:szCs w:val="24"/>
        </w:rPr>
        <w:t xml:space="preserve">в аренду </w:t>
      </w:r>
      <w:r>
        <w:rPr>
          <w:rFonts w:ascii="Times New Roman" w:hAnsi="Times New Roman" w:cs="Times New Roman"/>
          <w:sz w:val="24"/>
          <w:szCs w:val="24"/>
        </w:rPr>
        <w:t xml:space="preserve">без торгов, </w:t>
      </w:r>
      <w:r w:rsidRPr="00492815">
        <w:rPr>
          <w:rFonts w:ascii="Times New Roman" w:hAnsi="Times New Roman" w:cs="Times New Roman"/>
          <w:sz w:val="24"/>
          <w:szCs w:val="24"/>
        </w:rPr>
        <w:t>на те</w:t>
      </w:r>
      <w:r>
        <w:rPr>
          <w:rFonts w:ascii="Times New Roman" w:hAnsi="Times New Roman" w:cs="Times New Roman"/>
          <w:sz w:val="24"/>
          <w:szCs w:val="24"/>
        </w:rPr>
        <w:t>рритории МО «Кувшиновский район»</w:t>
      </w:r>
    </w:p>
    <w:p w:rsidR="00492815" w:rsidRPr="00EB3801" w:rsidRDefault="00492815" w:rsidP="004928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2815" w:rsidRDefault="00492815" w:rsidP="00492815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815">
        <w:rPr>
          <w:rFonts w:ascii="Times New Roman" w:hAnsi="Times New Roman" w:cs="Times New Roman"/>
          <w:b/>
          <w:sz w:val="28"/>
          <w:szCs w:val="24"/>
        </w:rPr>
        <w:t xml:space="preserve">Перечень значений коэффициента (К) в отношении земельных </w:t>
      </w:r>
    </w:p>
    <w:p w:rsidR="00492815" w:rsidRDefault="00492815" w:rsidP="00492815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815">
        <w:rPr>
          <w:rFonts w:ascii="Times New Roman" w:hAnsi="Times New Roman" w:cs="Times New Roman"/>
          <w:b/>
          <w:sz w:val="28"/>
          <w:szCs w:val="24"/>
        </w:rPr>
        <w:t xml:space="preserve">участков, государственная собственность на которые не разграничена, предоставленных в аренду без торгов, на территории </w:t>
      </w:r>
    </w:p>
    <w:p w:rsidR="00540A1C" w:rsidRDefault="00492815" w:rsidP="00492815">
      <w:pPr>
        <w:ind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815">
        <w:rPr>
          <w:rFonts w:ascii="Times New Roman" w:hAnsi="Times New Roman" w:cs="Times New Roman"/>
          <w:b/>
          <w:sz w:val="28"/>
          <w:szCs w:val="24"/>
          <w:u w:val="single"/>
        </w:rPr>
        <w:t>Кувшиновского района</w:t>
      </w:r>
    </w:p>
    <w:p w:rsidR="00492815" w:rsidRDefault="00492815" w:rsidP="00492815">
      <w:pPr>
        <w:ind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2407"/>
        <w:gridCol w:w="849"/>
        <w:gridCol w:w="4536"/>
        <w:gridCol w:w="1836"/>
      </w:tblGrid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коэффициента (К)</w:t>
            </w:r>
          </w:p>
        </w:tc>
      </w:tr>
      <w:tr w:rsidR="00492815" w:rsidRPr="00D2166D" w:rsidTr="00D2166D">
        <w:trPr>
          <w:trHeight w:val="204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2815" w:rsidRPr="00D2166D" w:rsidTr="00D2166D">
        <w:trPr>
          <w:trHeight w:val="1247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1.20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1276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1.6</w:t>
              </w:r>
            </w:hyperlink>
            <w:bookmarkStart w:id="1" w:name="Par51"/>
            <w:bookmarkEnd w:id="1"/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4"/>
            <w:bookmarkEnd w:id="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и цветочных культур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6"/>
            <w:bookmarkEnd w:id="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1.8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9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0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1.15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1.19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1.20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6"/>
            <w:bookmarkEnd w:id="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1хранения и первичной переработки продукции;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1"/>
            <w:bookmarkEnd w:id="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коллекций генетических ресурсов растений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07"/>
            <w:bookmarkEnd w:id="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20"/>
            <w:bookmarkEnd w:id="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24"/>
            <w:bookmarkEnd w:id="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6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2.3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7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2.7.1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rPr>
          <w:trHeight w:val="1110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40"/>
            <w:bookmarkEnd w:id="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330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630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60"/>
            <w:bookmarkEnd w:id="1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555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71"/>
            <w:bookmarkEnd w:id="1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555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подземных гаражей и автостоянок, размещение объектов обслуживания жилой застройки во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0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3.4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3.5.1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6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3.6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7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3.7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4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49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4.4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5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5.1.2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2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86"/>
            <w:bookmarkEnd w:id="1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3.10.2</w:t>
              </w:r>
            </w:hyperlink>
            <w:bookmarkStart w:id="13" w:name="Par190"/>
            <w:bookmarkEnd w:id="13"/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92"/>
            <w:bookmarkEnd w:id="1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0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98"/>
            <w:bookmarkEnd w:id="1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02"/>
            <w:bookmarkEnd w:id="1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04"/>
            <w:bookmarkEnd w:id="1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3.2.4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11"/>
            <w:bookmarkEnd w:id="1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220"/>
            <w:bookmarkEnd w:id="1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224"/>
            <w:bookmarkEnd w:id="2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26"/>
            <w:bookmarkEnd w:id="2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30"/>
            <w:bookmarkEnd w:id="2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3.4.2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34"/>
            <w:bookmarkEnd w:id="2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38"/>
            <w:bookmarkEnd w:id="2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3.5.1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5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3.5.2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52"/>
            <w:bookmarkEnd w:id="2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56"/>
            <w:bookmarkEnd w:id="2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60"/>
            <w:bookmarkEnd w:id="2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3.6.1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7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3.6.3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266"/>
            <w:bookmarkEnd w:id="2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274"/>
            <w:bookmarkEnd w:id="2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276"/>
            <w:bookmarkEnd w:id="3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3.7.2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обрядов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282"/>
            <w:bookmarkEnd w:id="3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286"/>
            <w:bookmarkEnd w:id="3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3.8.1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9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3.8.2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294"/>
            <w:bookmarkEnd w:id="3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298"/>
            <w:bookmarkEnd w:id="3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3.9.1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1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3.9.3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306"/>
            <w:bookmarkEnd w:id="3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314"/>
            <w:bookmarkEnd w:id="3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3.10.2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320"/>
            <w:bookmarkEnd w:id="3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324"/>
            <w:bookmarkEnd w:id="3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0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4.10</w:t>
              </w:r>
            </w:hyperlink>
            <w:bookmarkStart w:id="39" w:name="Par333"/>
            <w:bookmarkEnd w:id="39"/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335"/>
            <w:bookmarkEnd w:id="4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4.5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7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4.8.2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349"/>
            <w:bookmarkEnd w:id="4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354"/>
            <w:bookmarkEnd w:id="4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356"/>
            <w:bookmarkEnd w:id="4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362"/>
            <w:bookmarkEnd w:id="4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4.8.1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7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370"/>
            <w:bookmarkEnd w:id="4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374"/>
            <w:bookmarkEnd w:id="4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378"/>
            <w:bookmarkEnd w:id="4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382"/>
            <w:bookmarkEnd w:id="4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4.9.1.1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0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транспортных средств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390"/>
            <w:bookmarkEnd w:id="4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402"/>
            <w:bookmarkEnd w:id="5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404"/>
            <w:bookmarkEnd w:id="51"/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5.1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6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414"/>
            <w:bookmarkEnd w:id="5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5.1.1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4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5.1.7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зрелищных мероприятий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спортивно-зрелищных зданий и сооружений, имеющих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420"/>
            <w:bookmarkEnd w:id="5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424"/>
            <w:bookmarkEnd w:id="5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428"/>
            <w:bookmarkEnd w:id="5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444"/>
            <w:bookmarkEnd w:id="5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охоты и рыбалки, в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461"/>
            <w:bookmarkEnd w:id="5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-фаянсовой, электронной промышленности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гидроэнергетики, тепловых станций и других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3.2.3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космической деятельности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9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8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7.5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539"/>
            <w:bookmarkEnd w:id="5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7.1.1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5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7.1.2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545"/>
            <w:bookmarkEnd w:id="5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погрузочно-разгрузочных площадок, прирельсовых складов (за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550"/>
            <w:bookmarkEnd w:id="6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7.2.1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6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2.7.1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56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559"/>
            <w:bookmarkEnd w:id="6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567"/>
            <w:bookmarkEnd w:id="6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580"/>
            <w:bookmarkEnd w:id="6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584"/>
            <w:bookmarkEnd w:id="6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военных училищ, военных институтов, военных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университетов, военных академий;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вооружений, или боеприпасов;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 исполнению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наказаний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создания мест лишения свободы (следственные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изоляторы, тюрьмы, поселения)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Историко-культурная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4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10.4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635"/>
            <w:bookmarkEnd w:id="6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644"/>
            <w:bookmarkEnd w:id="6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12.0.1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6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12.0.2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 xml:space="preserve">кодами </w:t>
              </w:r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2.7.1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56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664"/>
            <w:bookmarkEnd w:id="6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668"/>
            <w:bookmarkEnd w:id="6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815" w:rsidRPr="00492815" w:rsidRDefault="00492815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sectPr w:rsidR="00492815" w:rsidRPr="00492815" w:rsidSect="0049281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5129"/>
    <w:multiLevelType w:val="hybridMultilevel"/>
    <w:tmpl w:val="963ADE3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36207"/>
    <w:multiLevelType w:val="hybridMultilevel"/>
    <w:tmpl w:val="D9F293D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8"/>
  </w:num>
  <w:num w:numId="10">
    <w:abstractNumId w:val="16"/>
  </w:num>
  <w:num w:numId="11">
    <w:abstractNumId w:val="6"/>
  </w:num>
  <w:num w:numId="12">
    <w:abstractNumId w:val="21"/>
  </w:num>
  <w:num w:numId="13">
    <w:abstractNumId w:val="14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5"/>
  </w:num>
  <w:num w:numId="19">
    <w:abstractNumId w:val="3"/>
  </w:num>
  <w:num w:numId="20">
    <w:abstractNumId w:val="12"/>
  </w:num>
  <w:num w:numId="21">
    <w:abstractNumId w:val="1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80F69"/>
    <w:rsid w:val="0018446F"/>
    <w:rsid w:val="001B1459"/>
    <w:rsid w:val="001B372E"/>
    <w:rsid w:val="001B3D00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92815"/>
    <w:rsid w:val="00493BE1"/>
    <w:rsid w:val="004B0C92"/>
    <w:rsid w:val="004C7F47"/>
    <w:rsid w:val="00540A1C"/>
    <w:rsid w:val="005760C5"/>
    <w:rsid w:val="005953BB"/>
    <w:rsid w:val="005A7F40"/>
    <w:rsid w:val="005F0918"/>
    <w:rsid w:val="005F4EE2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4B1B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0B0"/>
    <w:rsid w:val="00942520"/>
    <w:rsid w:val="00951D81"/>
    <w:rsid w:val="00956F31"/>
    <w:rsid w:val="0097781F"/>
    <w:rsid w:val="0099612A"/>
    <w:rsid w:val="009B7963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AE0B1F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65555"/>
    <w:rsid w:val="00CB5CCB"/>
    <w:rsid w:val="00D2166D"/>
    <w:rsid w:val="00D25A87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6EF9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49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3590-4A67-4504-B2A6-C891A3BD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8334</Words>
  <Characters>47507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</cp:revision>
  <cp:lastPrinted>2021-01-13T07:57:00Z</cp:lastPrinted>
  <dcterms:created xsi:type="dcterms:W3CDTF">2020-12-28T14:44:00Z</dcterms:created>
  <dcterms:modified xsi:type="dcterms:W3CDTF">2021-01-13T07:58:00Z</dcterms:modified>
</cp:coreProperties>
</file>